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78" w:rsidRPr="00822C89" w:rsidRDefault="00106F78" w:rsidP="00AB4F4D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22C8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Отбор в региональную программу повышения мобильности трудовых ресурсов</w:t>
      </w:r>
    </w:p>
    <w:p w:rsidR="00106F78" w:rsidRPr="00822C89" w:rsidRDefault="00106F78" w:rsidP="00106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78" w:rsidRPr="00822C89" w:rsidRDefault="00106F78" w:rsidP="00106F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региональной программы повышения мобильности трудовых ресурсов (постановление Правительства Красноярского края от 27.07.2015 </w:t>
      </w:r>
      <w:r w:rsidRPr="00822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391-п) предусмотрена финансовая поддержка работодателей при привлечении на постоянную работу квалифицированных работников </w:t>
      </w:r>
      <w:r w:rsidR="008D3A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2C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других регионов Российской Федерации</w:t>
      </w:r>
      <w:r w:rsidR="00F74CF9" w:rsidRPr="0082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C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76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кроме </w:t>
      </w:r>
      <w:r w:rsidR="002C354D" w:rsidRPr="00076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Республик</w:t>
      </w:r>
      <w:r w:rsidR="00076F38" w:rsidRPr="00076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2C354D" w:rsidRPr="00076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Бурятия, </w:t>
      </w:r>
      <w:r w:rsidR="00076F38" w:rsidRPr="00076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Республики </w:t>
      </w:r>
      <w:r w:rsidR="002C354D" w:rsidRPr="00076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Коми, </w:t>
      </w:r>
      <w:r w:rsidR="00076F38" w:rsidRPr="00076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Республики </w:t>
      </w:r>
      <w:r w:rsidR="002C354D" w:rsidRPr="00076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Саха (Якутия), Забайкальского края, </w:t>
      </w:r>
      <w:r w:rsidRPr="00076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Камчатского края, Приморского края, Хабаровского края, Амурской области, Архангельской области, Вологодской области, Калужской области, Магаданской области, Сахалинской области, Тамбовской</w:t>
      </w:r>
      <w:proofErr w:type="gramEnd"/>
      <w:r w:rsidRPr="00076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области, Ульяновской области, </w:t>
      </w:r>
      <w:r w:rsidR="00F85808" w:rsidRPr="00076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Еврейской автономной области, </w:t>
      </w:r>
      <w:r w:rsidRPr="00076F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Чукотского автономного округа (перечень утвержден распоряжением</w:t>
      </w:r>
      <w:r w:rsidRPr="00822C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Правительства РФ от 20.04.2015 № 696-р)</w:t>
      </w:r>
      <w:r w:rsidRPr="00822C8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B4F4D" w:rsidRDefault="00AB4F4D" w:rsidP="00AB4F4D">
      <w:pPr>
        <w:widowControl w:val="0"/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678" w:rsidRPr="00AB4F4D" w:rsidRDefault="00106F78" w:rsidP="00AB4F4D">
      <w:pPr>
        <w:widowControl w:val="0"/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финансовой поддержки составляет 225 тысяч на одного работника.</w:t>
      </w:r>
      <w:r w:rsidRPr="00822C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678" w:rsidRPr="00AB4F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могут расходоваться в течение двух лет на меры поддержки работников, привлекаемых из других субъектов Российской Федерации:</w:t>
      </w:r>
    </w:p>
    <w:p w:rsidR="00F17678" w:rsidRPr="00C659A0" w:rsidRDefault="00F17678" w:rsidP="00F17678">
      <w:pPr>
        <w:pStyle w:val="a6"/>
        <w:widowControl w:val="0"/>
        <w:numPr>
          <w:ilvl w:val="0"/>
          <w:numId w:val="6"/>
        </w:numPr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к</w:t>
      </w:r>
      <w:r w:rsidRPr="00C659A0">
        <w:rPr>
          <w:rFonts w:eastAsia="Calibri"/>
          <w:bCs/>
          <w:szCs w:val="28"/>
        </w:rPr>
        <w:t>омпенсация затрат на проезд работника и членов его семьи к месту работы</w:t>
      </w:r>
      <w:r w:rsidRPr="00C659A0">
        <w:rPr>
          <w:szCs w:val="28"/>
        </w:rPr>
        <w:t>;</w:t>
      </w:r>
    </w:p>
    <w:p w:rsidR="00F17678" w:rsidRPr="00C659A0" w:rsidRDefault="00F17678" w:rsidP="00F17678">
      <w:pPr>
        <w:pStyle w:val="a6"/>
        <w:widowControl w:val="0"/>
        <w:numPr>
          <w:ilvl w:val="0"/>
          <w:numId w:val="6"/>
        </w:numPr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пр</w:t>
      </w:r>
      <w:r w:rsidRPr="00C659A0">
        <w:rPr>
          <w:rFonts w:eastAsia="Calibri"/>
          <w:bCs/>
          <w:szCs w:val="28"/>
        </w:rPr>
        <w:t>едоставление работнику и членам его семьи жилья</w:t>
      </w:r>
      <w:r w:rsidRPr="00C659A0">
        <w:rPr>
          <w:szCs w:val="28"/>
        </w:rPr>
        <w:t xml:space="preserve">; </w:t>
      </w:r>
    </w:p>
    <w:p w:rsidR="00F17678" w:rsidRPr="00C659A0" w:rsidRDefault="00F17678" w:rsidP="00F17678">
      <w:pPr>
        <w:pStyle w:val="a6"/>
        <w:widowControl w:val="0"/>
        <w:numPr>
          <w:ilvl w:val="0"/>
          <w:numId w:val="6"/>
        </w:numPr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б</w:t>
      </w:r>
      <w:r w:rsidRPr="00C659A0">
        <w:rPr>
          <w:rFonts w:eastAsia="Calibri"/>
          <w:bCs/>
          <w:szCs w:val="28"/>
        </w:rPr>
        <w:t>ытовое обустройство работника</w:t>
      </w:r>
      <w:r w:rsidRPr="00C659A0">
        <w:rPr>
          <w:szCs w:val="28"/>
        </w:rPr>
        <w:t xml:space="preserve">; </w:t>
      </w:r>
    </w:p>
    <w:p w:rsidR="00F17678" w:rsidRPr="00C659A0" w:rsidRDefault="00F17678" w:rsidP="00F17678">
      <w:pPr>
        <w:pStyle w:val="a6"/>
        <w:widowControl w:val="0"/>
        <w:numPr>
          <w:ilvl w:val="0"/>
          <w:numId w:val="6"/>
        </w:numPr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е</w:t>
      </w:r>
      <w:r w:rsidRPr="00C659A0">
        <w:rPr>
          <w:rFonts w:eastAsia="Calibri"/>
          <w:bCs/>
          <w:szCs w:val="28"/>
        </w:rPr>
        <w:t>диновременная выплата работнику</w:t>
      </w:r>
      <w:r w:rsidRPr="00C659A0">
        <w:rPr>
          <w:szCs w:val="28"/>
        </w:rPr>
        <w:t>;</w:t>
      </w:r>
    </w:p>
    <w:p w:rsidR="00F17678" w:rsidRPr="00C659A0" w:rsidRDefault="00F17678" w:rsidP="00F17678">
      <w:pPr>
        <w:pStyle w:val="a6"/>
        <w:widowControl w:val="0"/>
        <w:numPr>
          <w:ilvl w:val="0"/>
          <w:numId w:val="6"/>
        </w:numPr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о</w:t>
      </w:r>
      <w:r w:rsidRPr="00C659A0">
        <w:rPr>
          <w:rFonts w:eastAsia="Calibri"/>
          <w:bCs/>
          <w:szCs w:val="28"/>
        </w:rPr>
        <w:t>плата обучения работника (профессиональная подготовка, переподготовка, повышение квалификации</w:t>
      </w:r>
      <w:r>
        <w:rPr>
          <w:rFonts w:eastAsia="Calibri"/>
          <w:bCs/>
          <w:szCs w:val="28"/>
        </w:rPr>
        <w:t>)</w:t>
      </w:r>
      <w:r w:rsidRPr="00C659A0">
        <w:rPr>
          <w:szCs w:val="28"/>
        </w:rPr>
        <w:t xml:space="preserve">; </w:t>
      </w:r>
    </w:p>
    <w:p w:rsidR="00F17678" w:rsidRPr="000C020D" w:rsidRDefault="00F17678" w:rsidP="00F17678">
      <w:pPr>
        <w:pStyle w:val="a6"/>
        <w:widowControl w:val="0"/>
        <w:numPr>
          <w:ilvl w:val="0"/>
          <w:numId w:val="6"/>
        </w:numPr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о</w:t>
      </w:r>
      <w:r w:rsidRPr="00C659A0">
        <w:rPr>
          <w:rFonts w:eastAsia="Calibri"/>
          <w:bCs/>
          <w:szCs w:val="28"/>
        </w:rPr>
        <w:t>плата расходов, связанных с направлением работника на обучение</w:t>
      </w:r>
    </w:p>
    <w:p w:rsidR="00F17678" w:rsidRPr="005A0F4D" w:rsidRDefault="00F17678" w:rsidP="00F17678">
      <w:pPr>
        <w:pStyle w:val="a6"/>
        <w:widowControl w:val="0"/>
        <w:numPr>
          <w:ilvl w:val="0"/>
          <w:numId w:val="6"/>
        </w:numPr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rFonts w:eastAsia="Calibri"/>
          <w:bCs/>
          <w:szCs w:val="28"/>
          <w:lang w:eastAsia="en-US"/>
        </w:rPr>
        <w:t>о</w:t>
      </w:r>
      <w:r w:rsidRPr="00F74890">
        <w:rPr>
          <w:rFonts w:eastAsia="Calibri"/>
          <w:bCs/>
          <w:szCs w:val="28"/>
          <w:lang w:eastAsia="en-US"/>
        </w:rPr>
        <w:t xml:space="preserve">плата пребывания в дошкольной образовательной организации </w:t>
      </w:r>
      <w:r w:rsidR="00F65911">
        <w:rPr>
          <w:rFonts w:eastAsia="Calibri"/>
          <w:bCs/>
          <w:szCs w:val="28"/>
          <w:lang w:eastAsia="en-US"/>
        </w:rPr>
        <w:br/>
      </w:r>
      <w:r w:rsidRPr="00F74890">
        <w:rPr>
          <w:rFonts w:eastAsia="Calibri"/>
          <w:bCs/>
          <w:szCs w:val="28"/>
          <w:lang w:eastAsia="en-US"/>
        </w:rPr>
        <w:t>и обучения детей работника</w:t>
      </w:r>
      <w:r>
        <w:rPr>
          <w:rFonts w:eastAsia="Calibri"/>
          <w:bCs/>
          <w:szCs w:val="28"/>
        </w:rPr>
        <w:t>;</w:t>
      </w:r>
    </w:p>
    <w:p w:rsidR="00F17678" w:rsidRPr="005A0F4D" w:rsidRDefault="00F17678" w:rsidP="00F17678">
      <w:pPr>
        <w:pStyle w:val="a6"/>
        <w:widowControl w:val="0"/>
        <w:numPr>
          <w:ilvl w:val="0"/>
          <w:numId w:val="6"/>
        </w:numPr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rFonts w:eastAsia="Calibri"/>
          <w:bCs/>
          <w:szCs w:val="28"/>
          <w:lang w:eastAsia="en-US"/>
        </w:rPr>
        <w:t>о</w:t>
      </w:r>
      <w:r w:rsidRPr="00F74890">
        <w:rPr>
          <w:rFonts w:eastAsia="Calibri"/>
          <w:bCs/>
          <w:szCs w:val="28"/>
          <w:lang w:eastAsia="en-US"/>
        </w:rPr>
        <w:t>плата расходов на прохождение работником независимой оценки квалификации на соответствие положениям профессионального стандарта</w:t>
      </w:r>
      <w:r>
        <w:rPr>
          <w:rFonts w:eastAsia="Calibri"/>
          <w:bCs/>
          <w:szCs w:val="28"/>
          <w:lang w:eastAsia="en-US"/>
        </w:rPr>
        <w:t>;</w:t>
      </w:r>
    </w:p>
    <w:p w:rsidR="00F17678" w:rsidRPr="00C659A0" w:rsidRDefault="00F17678" w:rsidP="00F17678">
      <w:pPr>
        <w:pStyle w:val="a6"/>
        <w:widowControl w:val="0"/>
        <w:numPr>
          <w:ilvl w:val="0"/>
          <w:numId w:val="6"/>
        </w:numPr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rFonts w:eastAsia="Calibri"/>
          <w:bCs/>
          <w:szCs w:val="28"/>
          <w:lang w:eastAsia="en-US"/>
        </w:rPr>
        <w:t>п</w:t>
      </w:r>
      <w:r w:rsidRPr="006F5650">
        <w:rPr>
          <w:rFonts w:eastAsia="Calibri"/>
          <w:bCs/>
          <w:szCs w:val="28"/>
          <w:lang w:eastAsia="en-US"/>
        </w:rPr>
        <w:t>редоставление работнику дополнительного социального пакета</w:t>
      </w:r>
      <w:r w:rsidRPr="006A7409">
        <w:rPr>
          <w:rFonts w:eastAsia="Calibri"/>
          <w:bCs/>
          <w:i/>
          <w:szCs w:val="28"/>
        </w:rPr>
        <w:t xml:space="preserve"> (</w:t>
      </w:r>
      <w:r>
        <w:rPr>
          <w:rFonts w:eastAsia="Calibri"/>
          <w:bCs/>
          <w:i/>
          <w:szCs w:val="28"/>
        </w:rPr>
        <w:t>п</w:t>
      </w:r>
      <w:r w:rsidRPr="006A7409">
        <w:rPr>
          <w:rFonts w:eastAsia="Calibri"/>
          <w:bCs/>
          <w:i/>
          <w:szCs w:val="28"/>
        </w:rPr>
        <w:t xml:space="preserve">одробнее – </w:t>
      </w:r>
      <w:r w:rsidRPr="006A7409">
        <w:rPr>
          <w:i/>
          <w:szCs w:val="28"/>
        </w:rPr>
        <w:t xml:space="preserve">постановление Правительства Красноярского края </w:t>
      </w:r>
      <w:r w:rsidR="00F65911">
        <w:rPr>
          <w:i/>
          <w:szCs w:val="28"/>
        </w:rPr>
        <w:br/>
      </w:r>
      <w:r w:rsidRPr="006A7409">
        <w:rPr>
          <w:i/>
          <w:szCs w:val="28"/>
        </w:rPr>
        <w:t>от 02.04.2019 № 155-п)</w:t>
      </w:r>
      <w:r>
        <w:rPr>
          <w:i/>
          <w:szCs w:val="28"/>
        </w:rPr>
        <w:t>.</w:t>
      </w:r>
    </w:p>
    <w:p w:rsidR="00432E41" w:rsidRDefault="00432E41" w:rsidP="00F17678">
      <w:pPr>
        <w:shd w:val="clear" w:color="auto" w:fill="FFFFFF"/>
        <w:spacing w:after="0" w:line="240" w:lineRule="auto"/>
        <w:jc w:val="both"/>
      </w:pPr>
    </w:p>
    <w:p w:rsidR="00F17678" w:rsidRPr="000954C4" w:rsidRDefault="00F17678" w:rsidP="000954C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участия:</w:t>
      </w:r>
    </w:p>
    <w:p w:rsidR="00F17678" w:rsidRDefault="00F17678" w:rsidP="00F17678">
      <w:pPr>
        <w:pStyle w:val="a6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bCs/>
          <w:szCs w:val="28"/>
        </w:rPr>
      </w:pPr>
      <w:r w:rsidRPr="003450FE">
        <w:rPr>
          <w:rFonts w:eastAsia="Calibri"/>
          <w:bCs/>
          <w:szCs w:val="28"/>
        </w:rPr>
        <w:t xml:space="preserve">В </w:t>
      </w:r>
      <w:r>
        <w:rPr>
          <w:rFonts w:eastAsia="Calibri"/>
          <w:bCs/>
          <w:szCs w:val="28"/>
        </w:rPr>
        <w:t xml:space="preserve">региональной </w:t>
      </w:r>
      <w:r w:rsidRPr="003450FE">
        <w:rPr>
          <w:rFonts w:eastAsia="Calibri"/>
          <w:bCs/>
          <w:szCs w:val="28"/>
        </w:rPr>
        <w:t>программе может принять участие</w:t>
      </w:r>
      <w:r>
        <w:rPr>
          <w:rFonts w:eastAsia="Calibri"/>
          <w:bCs/>
          <w:szCs w:val="28"/>
        </w:rPr>
        <w:t xml:space="preserve"> л</w:t>
      </w:r>
      <w:r w:rsidRPr="003450FE">
        <w:rPr>
          <w:rFonts w:eastAsia="Calibri"/>
          <w:bCs/>
          <w:szCs w:val="28"/>
        </w:rPr>
        <w:t>юбой работодатель</w:t>
      </w:r>
      <w:r>
        <w:rPr>
          <w:rFonts w:eastAsia="Calibri"/>
          <w:bCs/>
          <w:szCs w:val="28"/>
        </w:rPr>
        <w:t>:</w:t>
      </w:r>
    </w:p>
    <w:p w:rsidR="00F17678" w:rsidRPr="00007B61" w:rsidRDefault="00F17678" w:rsidP="00F17678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bCs/>
          <w:szCs w:val="28"/>
        </w:rPr>
      </w:pPr>
      <w:proofErr w:type="gramStart"/>
      <w:r>
        <w:rPr>
          <w:rFonts w:eastAsia="Calibri"/>
          <w:bCs/>
          <w:szCs w:val="28"/>
        </w:rPr>
        <w:t>и</w:t>
      </w:r>
      <w:r w:rsidRPr="00007B61">
        <w:rPr>
          <w:rFonts w:eastAsia="Calibri"/>
          <w:bCs/>
          <w:szCs w:val="28"/>
        </w:rPr>
        <w:t>спытывающий</w:t>
      </w:r>
      <w:proofErr w:type="gramEnd"/>
      <w:r w:rsidRPr="00007B61">
        <w:rPr>
          <w:rFonts w:eastAsia="Calibri"/>
          <w:bCs/>
          <w:szCs w:val="28"/>
        </w:rPr>
        <w:t xml:space="preserve"> потребность в квалифицированных специалистах, привлекаемых из других субъектов Российской Федерации</w:t>
      </w:r>
      <w:r>
        <w:rPr>
          <w:rFonts w:eastAsia="Calibri"/>
          <w:bCs/>
          <w:szCs w:val="28"/>
        </w:rPr>
        <w:t>;</w:t>
      </w:r>
      <w:r w:rsidRPr="00007B61">
        <w:rPr>
          <w:rFonts w:eastAsia="Calibri"/>
          <w:bCs/>
          <w:szCs w:val="28"/>
        </w:rPr>
        <w:t xml:space="preserve"> </w:t>
      </w:r>
    </w:p>
    <w:p w:rsidR="00F17678" w:rsidRPr="00007B61" w:rsidRDefault="00F17678" w:rsidP="00F17678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bCs/>
          <w:szCs w:val="28"/>
        </w:rPr>
      </w:pPr>
      <w:r w:rsidRPr="00007B61">
        <w:rPr>
          <w:rFonts w:eastAsia="Calibri"/>
          <w:bCs/>
          <w:szCs w:val="28"/>
        </w:rPr>
        <w:t>имеющий статус юридического лица (индивидуального предпринимателя) в соответствии с законодательством Российской Федерации, за исключением государственных (муниципальных) предприят</w:t>
      </w:r>
      <w:r>
        <w:rPr>
          <w:rFonts w:eastAsia="Calibri"/>
          <w:bCs/>
          <w:szCs w:val="28"/>
        </w:rPr>
        <w:t>ий, иностранных юридических лиц.</w:t>
      </w:r>
    </w:p>
    <w:p w:rsidR="00F17678" w:rsidRDefault="00F17678" w:rsidP="00F17678">
      <w:pPr>
        <w:pStyle w:val="a6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bCs/>
          <w:i/>
          <w:szCs w:val="28"/>
        </w:rPr>
      </w:pPr>
      <w:r w:rsidRPr="003450FE">
        <w:rPr>
          <w:rFonts w:eastAsia="Calibri"/>
          <w:bCs/>
          <w:szCs w:val="28"/>
        </w:rPr>
        <w:lastRenderedPageBreak/>
        <w:t>Поряд</w:t>
      </w:r>
      <w:r>
        <w:rPr>
          <w:rFonts w:eastAsia="Calibri"/>
          <w:bCs/>
          <w:szCs w:val="28"/>
        </w:rPr>
        <w:t>о</w:t>
      </w:r>
      <w:r w:rsidRPr="003450FE">
        <w:rPr>
          <w:rFonts w:eastAsia="Calibri"/>
          <w:bCs/>
          <w:szCs w:val="28"/>
        </w:rPr>
        <w:t xml:space="preserve">к и критерии отбора </w:t>
      </w:r>
      <w:proofErr w:type="gramStart"/>
      <w:r w:rsidRPr="003450FE">
        <w:rPr>
          <w:rFonts w:eastAsia="Calibri"/>
          <w:bCs/>
          <w:szCs w:val="28"/>
        </w:rPr>
        <w:t xml:space="preserve">работодателей, подлежащих включению </w:t>
      </w:r>
      <w:r>
        <w:rPr>
          <w:rFonts w:eastAsia="Calibri"/>
          <w:bCs/>
          <w:szCs w:val="28"/>
        </w:rPr>
        <w:br/>
      </w:r>
      <w:r w:rsidRPr="003450FE">
        <w:rPr>
          <w:rFonts w:eastAsia="Calibri"/>
          <w:bCs/>
          <w:szCs w:val="28"/>
        </w:rPr>
        <w:t xml:space="preserve">в региональную программу </w:t>
      </w:r>
      <w:r w:rsidRPr="00007B61">
        <w:rPr>
          <w:rFonts w:eastAsia="Calibri"/>
          <w:bCs/>
          <w:szCs w:val="28"/>
        </w:rPr>
        <w:t>утверждены</w:t>
      </w:r>
      <w:proofErr w:type="gramEnd"/>
      <w:r w:rsidRPr="00007B61">
        <w:rPr>
          <w:rFonts w:eastAsia="Calibri"/>
          <w:bCs/>
          <w:szCs w:val="28"/>
        </w:rPr>
        <w:t xml:space="preserve"> постановлением Правительства Красноярского края от 16.11.2018 № 678-п.</w:t>
      </w:r>
    </w:p>
    <w:p w:rsidR="00F17678" w:rsidRPr="0073279F" w:rsidRDefault="00F17678" w:rsidP="00F17678">
      <w:pPr>
        <w:pStyle w:val="a6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bCs/>
          <w:szCs w:val="28"/>
        </w:rPr>
      </w:pPr>
    </w:p>
    <w:p w:rsidR="00F17678" w:rsidRPr="00F17678" w:rsidRDefault="00F17678" w:rsidP="00F1767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участникам:</w:t>
      </w:r>
    </w:p>
    <w:p w:rsidR="00F17678" w:rsidRPr="008C5587" w:rsidRDefault="00F17678" w:rsidP="00F17678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заключение с</w:t>
      </w:r>
      <w:r w:rsidRPr="008C5587">
        <w:rPr>
          <w:rFonts w:eastAsia="Calibri"/>
          <w:bCs/>
          <w:szCs w:val="28"/>
        </w:rPr>
        <w:t xml:space="preserve"> работником, привлеченным в рамках региональной программы, </w:t>
      </w:r>
      <w:r>
        <w:t>трудового договора на неопределенный срок или срочного трудового договора продолжительностью не менее двух лет;</w:t>
      </w:r>
    </w:p>
    <w:p w:rsidR="00F17678" w:rsidRPr="003450FE" w:rsidRDefault="00F17678" w:rsidP="00F17678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отсутствие длительных (более года) задолженностей по налогам, страховым взносам.</w:t>
      </w:r>
    </w:p>
    <w:p w:rsidR="00F17678" w:rsidRDefault="00F17678" w:rsidP="00F17678">
      <w:pPr>
        <w:widowControl w:val="0"/>
        <w:tabs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Cs w:val="28"/>
        </w:rPr>
      </w:pPr>
    </w:p>
    <w:p w:rsidR="00106F78" w:rsidRPr="00822C89" w:rsidRDefault="00DD4A86" w:rsidP="00F17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06F78" w:rsidRPr="0082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сегодняшний день агентством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занятости населения Красноярского края</w:t>
      </w:r>
      <w:r w:rsidRPr="0082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F78" w:rsidRPr="00822C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резерв предприятий, желающих принять участие в программе в 20</w:t>
      </w:r>
      <w:r w:rsidR="007D66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114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6F78" w:rsidRPr="00822C8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11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6F78" w:rsidRPr="0082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годах. </w:t>
      </w:r>
    </w:p>
    <w:p w:rsidR="00106F78" w:rsidRPr="00822C89" w:rsidRDefault="00106F78" w:rsidP="00106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911" w:rsidRPr="00F65911" w:rsidRDefault="00106F78" w:rsidP="00F6591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Консультации по вопросам участия в региональной программе повышения мобильности трудовых ресурсов можно получить:</w:t>
      </w:r>
    </w:p>
    <w:p w:rsidR="002656E8" w:rsidRDefault="002656E8" w:rsidP="002656E8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211E">
        <w:rPr>
          <w:rFonts w:ascii="Times New Roman" w:hAnsi="Times New Roman"/>
          <w:bCs/>
          <w:sz w:val="28"/>
          <w:szCs w:val="28"/>
        </w:rPr>
        <w:t>в КГКУ "</w:t>
      </w:r>
      <w:proofErr w:type="gramStart"/>
      <w:r w:rsidRPr="00E5211E">
        <w:rPr>
          <w:rFonts w:ascii="Times New Roman" w:hAnsi="Times New Roman"/>
          <w:bCs/>
          <w:sz w:val="28"/>
          <w:szCs w:val="28"/>
        </w:rPr>
        <w:t>ЦЗН</w:t>
      </w:r>
      <w:proofErr w:type="gramEnd"/>
      <w:r w:rsidRPr="00E5211E">
        <w:rPr>
          <w:rFonts w:ascii="Times New Roman" w:hAnsi="Times New Roman"/>
          <w:bCs/>
          <w:sz w:val="28"/>
          <w:szCs w:val="28"/>
        </w:rPr>
        <w:t xml:space="preserve"> ЗАТО г. Железногорска" заместитель директора центра занятости населения </w:t>
      </w:r>
      <w:proofErr w:type="spellStart"/>
      <w:r w:rsidRPr="00E5211E">
        <w:rPr>
          <w:rFonts w:ascii="Times New Roman" w:hAnsi="Times New Roman"/>
          <w:bCs/>
          <w:sz w:val="28"/>
          <w:szCs w:val="28"/>
        </w:rPr>
        <w:t>Булавчук</w:t>
      </w:r>
      <w:proofErr w:type="spellEnd"/>
      <w:r w:rsidRPr="00E5211E">
        <w:rPr>
          <w:rFonts w:ascii="Times New Roman" w:hAnsi="Times New Roman"/>
          <w:bCs/>
          <w:sz w:val="28"/>
          <w:szCs w:val="28"/>
        </w:rPr>
        <w:t xml:space="preserve"> Людмила Григорьевна, телефон 8(3919)75-34-03.</w:t>
      </w:r>
    </w:p>
    <w:p w:rsidR="00106F78" w:rsidRPr="00822C89" w:rsidRDefault="00106F78" w:rsidP="002656E8">
      <w:pPr>
        <w:pStyle w:val="a6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8"/>
        </w:rPr>
      </w:pPr>
      <w:r w:rsidRPr="00F65911">
        <w:rPr>
          <w:rFonts w:eastAsia="Calibri"/>
          <w:bCs/>
          <w:szCs w:val="28"/>
        </w:rPr>
        <w:t>в отделе по информационному сопровождению инвестиционных проектов</w:t>
      </w:r>
      <w:r w:rsidRPr="00822C89">
        <w:rPr>
          <w:szCs w:val="28"/>
        </w:rPr>
        <w:t xml:space="preserve"> агентства </w:t>
      </w:r>
      <w:r w:rsidR="000954C4">
        <w:rPr>
          <w:szCs w:val="28"/>
        </w:rPr>
        <w:t xml:space="preserve">труда и занятости населения Красноярского края </w:t>
      </w:r>
      <w:r w:rsidRPr="00822C89">
        <w:rPr>
          <w:szCs w:val="28"/>
        </w:rPr>
        <w:t>– телефоны 8(391) 221-98-90, электронная почта invest@azn24.ru, invest_24@mail.ru.</w:t>
      </w:r>
    </w:p>
    <w:sectPr w:rsidR="00106F78" w:rsidRPr="00822C89" w:rsidSect="001C1BB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B99"/>
    <w:multiLevelType w:val="multilevel"/>
    <w:tmpl w:val="85A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F37BF"/>
    <w:multiLevelType w:val="hybridMultilevel"/>
    <w:tmpl w:val="A1EECD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50575A"/>
    <w:multiLevelType w:val="hybridMultilevel"/>
    <w:tmpl w:val="C36208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C161B0"/>
    <w:multiLevelType w:val="multilevel"/>
    <w:tmpl w:val="C484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B1CD0"/>
    <w:multiLevelType w:val="multilevel"/>
    <w:tmpl w:val="0E28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E61CC"/>
    <w:multiLevelType w:val="hybridMultilevel"/>
    <w:tmpl w:val="270689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D1695D"/>
    <w:multiLevelType w:val="multilevel"/>
    <w:tmpl w:val="DDA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04737"/>
    <w:multiLevelType w:val="hybridMultilevel"/>
    <w:tmpl w:val="8550E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382"/>
    <w:rsid w:val="00011489"/>
    <w:rsid w:val="00076F38"/>
    <w:rsid w:val="000954C4"/>
    <w:rsid w:val="00106F78"/>
    <w:rsid w:val="001C1BB2"/>
    <w:rsid w:val="002656E8"/>
    <w:rsid w:val="002C354D"/>
    <w:rsid w:val="00373C98"/>
    <w:rsid w:val="00432E41"/>
    <w:rsid w:val="006A0382"/>
    <w:rsid w:val="007D669C"/>
    <w:rsid w:val="00822C89"/>
    <w:rsid w:val="00896EC8"/>
    <w:rsid w:val="008D3A39"/>
    <w:rsid w:val="008E3B85"/>
    <w:rsid w:val="00AB4F4D"/>
    <w:rsid w:val="00B974A4"/>
    <w:rsid w:val="00C5522C"/>
    <w:rsid w:val="00CE187C"/>
    <w:rsid w:val="00D01BE4"/>
    <w:rsid w:val="00DD4A86"/>
    <w:rsid w:val="00E843A6"/>
    <w:rsid w:val="00F17678"/>
    <w:rsid w:val="00F65911"/>
    <w:rsid w:val="00F74CF9"/>
    <w:rsid w:val="00F8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85"/>
  </w:style>
  <w:style w:type="paragraph" w:styleId="2">
    <w:name w:val="heading 2"/>
    <w:basedOn w:val="a"/>
    <w:link w:val="20"/>
    <w:uiPriority w:val="9"/>
    <w:qFormat/>
    <w:rsid w:val="00106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106F78"/>
    <w:rPr>
      <w:i/>
      <w:iCs/>
    </w:rPr>
  </w:style>
  <w:style w:type="character" w:styleId="a4">
    <w:name w:val="Hyperlink"/>
    <w:basedOn w:val="a0"/>
    <w:uiPriority w:val="99"/>
    <w:semiHidden/>
    <w:unhideWhenUsed/>
    <w:rsid w:val="00106F78"/>
    <w:rPr>
      <w:color w:val="0000FF"/>
      <w:u w:val="single"/>
    </w:rPr>
  </w:style>
  <w:style w:type="character" w:styleId="a5">
    <w:name w:val="Strong"/>
    <w:basedOn w:val="a0"/>
    <w:uiPriority w:val="22"/>
    <w:qFormat/>
    <w:rsid w:val="00106F78"/>
    <w:rPr>
      <w:b/>
      <w:bCs/>
    </w:rPr>
  </w:style>
  <w:style w:type="paragraph" w:styleId="a6">
    <w:name w:val="List Paragraph"/>
    <w:basedOn w:val="a"/>
    <w:uiPriority w:val="34"/>
    <w:qFormat/>
    <w:rsid w:val="00F1767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1970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О. Новицкая</dc:creator>
  <cp:lastModifiedBy>Загария Елена Николаевна</cp:lastModifiedBy>
  <cp:revision>4</cp:revision>
  <cp:lastPrinted>2020-03-10T08:42:00Z</cp:lastPrinted>
  <dcterms:created xsi:type="dcterms:W3CDTF">2019-06-26T07:41:00Z</dcterms:created>
  <dcterms:modified xsi:type="dcterms:W3CDTF">2020-03-10T08:55:00Z</dcterms:modified>
</cp:coreProperties>
</file>